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0791" w14:textId="77777777" w:rsidR="000724C8" w:rsidRPr="00AA038A" w:rsidRDefault="000724C8" w:rsidP="000724C8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50624"/>
          <w:sz w:val="28"/>
          <w:szCs w:val="28"/>
        </w:rPr>
      </w:pPr>
      <w:r w:rsidRPr="00087DA9">
        <w:rPr>
          <w:b/>
          <w:bCs/>
          <w:color w:val="050624"/>
          <w:sz w:val="28"/>
          <w:szCs w:val="28"/>
        </w:rPr>
        <w:t>Угон автомобиля и ответственность за данное деяни</w:t>
      </w:r>
      <w:r>
        <w:rPr>
          <w:b/>
          <w:bCs/>
          <w:color w:val="050624"/>
          <w:sz w:val="28"/>
          <w:szCs w:val="28"/>
        </w:rPr>
        <w:t xml:space="preserve">е </w:t>
      </w:r>
    </w:p>
    <w:p w14:paraId="713506C9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В соответствии с уголовным законом угон – это неправомерное завладение автомобилем или иным транспортным средством без цели хищения. Ответственность за угон предусмотрена ст. 166 Уголовного кодекса Российской Федерации.</w:t>
      </w:r>
    </w:p>
    <w:p w14:paraId="1A52474E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Верховный суд Российской Федерации разъяснил, что под угоном понимается завладение чужим автомобилем или другим транспортным средством и поездка на нём без намерения присвоить его. Цели у преступника могут быть различны: покататься, доехать до нужного места, облегчить совершение другого преступления и др.</w:t>
      </w:r>
    </w:p>
    <w:p w14:paraId="61863F98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Напротив, как хищение (например, кража или грабеж) будут квалифицированы действия лица в отношении автомобиля с намерением присвоить его, обратить в свою пользу или вернуть за вознаграждение.</w:t>
      </w:r>
    </w:p>
    <w:p w14:paraId="76429643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Под иными транспортными средствами, за угон которых без цели хищения предусмотрена уголовная ответственность по статье 166 Уголовного кодекса Российской Федерации, следует понимать транспортные средства, на управление которыми в соответствии с законодательством Российской Федерации предоставляется специальное право (автобусы, троллейбусы, трамваи, мотоциклы, мопеды, трактора и другие самоходные машины, иные транспортные средства с двигателем внутреннего сгорания или электрическим двигателем.</w:t>
      </w:r>
    </w:p>
    <w:p w14:paraId="738B85B1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Данное преступление является оконченным с момента начала движения транспортного средства либо его перемещения с места, на котором оно находилось.</w:t>
      </w:r>
    </w:p>
    <w:p w14:paraId="4A94D328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Как покушение на угон транспортного средства без цели хищения следует рассматривать действия лица, пытавшегося взломать замки и системы охранной сигнализации, завести двигатель либо с целью угона начать движение, если действия этого лица были пресечены или по иным независящим от него обстоятельствам ему не удалось реализовать преступный умысел на использование транспортного средства в личных интересах без цели хищения.</w:t>
      </w:r>
    </w:p>
    <w:p w14:paraId="4A75891C" w14:textId="77777777" w:rsidR="000724C8" w:rsidRPr="00087DA9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Ответственность за угон без квалифицирующих признаков может наступить в виде штрафа до ста двадцати тысяч рублей, ограничения свободы на срок до трёх лет, принудительных работ на срок до пяти лет либо в виде лишения свободы на срок до пяти лет.</w:t>
      </w:r>
    </w:p>
    <w:p w14:paraId="1A19E060" w14:textId="77777777" w:rsidR="000724C8" w:rsidRDefault="000724C8" w:rsidP="000724C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87DA9">
        <w:rPr>
          <w:rFonts w:ascii="Times New Roman" w:hAnsi="Times New Roman" w:cs="Times New Roman"/>
          <w:sz w:val="28"/>
          <w:szCs w:val="28"/>
        </w:rPr>
        <w:t>За угон, совершенный группой лиц по предварительному сговору, наказание предусмотрено строже, в том числе срок лишения свободы в санкции увеличен до семи лет. За угон в составе организованной группы последует безальтернативное наказание до десяти лет лишения свободы. В случае совершения угона с применением насилия, опасного для жизни или здоровья, либо с угрозой применения такого насилия, наказание предусмотрено до двенадцати лет лишения свободы.</w:t>
      </w:r>
    </w:p>
    <w:p w14:paraId="0A7618F0" w14:textId="77777777" w:rsidR="00CA528C" w:rsidRDefault="00CA528C">
      <w:bookmarkStart w:id="0" w:name="_GoBack"/>
      <w:bookmarkEnd w:id="0"/>
    </w:p>
    <w:sectPr w:rsidR="00CA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FF"/>
    <w:rsid w:val="000724C8"/>
    <w:rsid w:val="00A603FF"/>
    <w:rsid w:val="00C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6694-1320-4510-A055-4C688A49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4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Company>Прокуратура РФ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Данилова Наталья Владимировна</cp:lastModifiedBy>
  <cp:revision>2</cp:revision>
  <dcterms:created xsi:type="dcterms:W3CDTF">2025-06-27T13:57:00Z</dcterms:created>
  <dcterms:modified xsi:type="dcterms:W3CDTF">2025-06-27T13:57:00Z</dcterms:modified>
</cp:coreProperties>
</file>